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017"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ayout w:type="fixed"/>
        <w:tblCellMar>
          <w:left w:w="115" w:type="dxa"/>
          <w:right w:w="115" w:type="dxa"/>
        </w:tblCellMar>
        <w:tblLook w:val="01E0" w:firstRow="1" w:lastRow="1" w:firstColumn="1" w:lastColumn="1" w:noHBand="0" w:noVBand="0"/>
      </w:tblPr>
      <w:tblGrid>
        <w:gridCol w:w="1290"/>
        <w:gridCol w:w="4727"/>
      </w:tblGrid>
      <w:tr w:rsidR="00F63886" w:rsidRPr="001762E2" w14:paraId="08503E36" w14:textId="77777777" w:rsidTr="00F028D1">
        <w:trPr>
          <w:trHeight w:val="161"/>
        </w:trPr>
        <w:tc>
          <w:tcPr>
            <w:tcW w:w="1290" w:type="dxa"/>
          </w:tcPr>
          <w:p w14:paraId="014B74DC" w14:textId="77777777" w:rsidR="00F63886" w:rsidRPr="001762E2" w:rsidRDefault="00F63886" w:rsidP="00CE5713">
            <w:pPr>
              <w:pStyle w:val="FieldLabels"/>
              <w:rPr>
                <w:rFonts w:ascii="Arial" w:hAnsi="Arial" w:cs="Arial"/>
                <w:sz w:val="20"/>
                <w:szCs w:val="20"/>
              </w:rPr>
            </w:pPr>
            <w:r w:rsidRPr="001762E2">
              <w:rPr>
                <w:rFonts w:ascii="Arial" w:hAnsi="Arial" w:cs="Arial"/>
                <w:sz w:val="20"/>
                <w:szCs w:val="20"/>
              </w:rPr>
              <w:t>TO:</w:t>
            </w:r>
          </w:p>
        </w:tc>
        <w:tc>
          <w:tcPr>
            <w:tcW w:w="4727" w:type="dxa"/>
            <w:vAlign w:val="bottom"/>
          </w:tcPr>
          <w:p w14:paraId="46CED864" w14:textId="0623C68B" w:rsidR="00F63886" w:rsidRPr="001762E2" w:rsidRDefault="00436ECF" w:rsidP="00CE5713">
            <w:pPr>
              <w:pStyle w:val="Text"/>
              <w:rPr>
                <w:rFonts w:ascii="Arial" w:hAnsi="Arial" w:cs="Arial"/>
                <w:szCs w:val="20"/>
              </w:rPr>
            </w:pPr>
            <w:r w:rsidRPr="001762E2">
              <w:rPr>
                <w:rFonts w:ascii="Arial" w:hAnsi="Arial" w:cs="Arial"/>
                <w:szCs w:val="20"/>
              </w:rPr>
              <w:t>Senator Liz Krueger</w:t>
            </w:r>
          </w:p>
        </w:tc>
      </w:tr>
      <w:tr w:rsidR="00F63886" w:rsidRPr="001762E2" w14:paraId="57D7E885" w14:textId="77777777" w:rsidTr="00F028D1">
        <w:trPr>
          <w:trHeight w:val="322"/>
        </w:trPr>
        <w:tc>
          <w:tcPr>
            <w:tcW w:w="1290" w:type="dxa"/>
          </w:tcPr>
          <w:p w14:paraId="096F604F" w14:textId="77777777" w:rsidR="00F63886" w:rsidRPr="001762E2" w:rsidRDefault="00F63886" w:rsidP="00CE5713">
            <w:pPr>
              <w:pStyle w:val="FieldLabels"/>
              <w:rPr>
                <w:rFonts w:ascii="Arial" w:hAnsi="Arial" w:cs="Arial"/>
                <w:sz w:val="20"/>
                <w:szCs w:val="20"/>
              </w:rPr>
            </w:pPr>
            <w:r w:rsidRPr="001762E2">
              <w:rPr>
                <w:rFonts w:ascii="Arial" w:hAnsi="Arial" w:cs="Arial"/>
                <w:sz w:val="20"/>
                <w:szCs w:val="20"/>
              </w:rPr>
              <w:t>FROM:</w:t>
            </w:r>
          </w:p>
        </w:tc>
        <w:tc>
          <w:tcPr>
            <w:tcW w:w="4727" w:type="dxa"/>
            <w:vAlign w:val="bottom"/>
          </w:tcPr>
          <w:p w14:paraId="10CE5D24" w14:textId="77777777" w:rsidR="00F63886" w:rsidRPr="001762E2" w:rsidRDefault="00F63886" w:rsidP="00CE5713">
            <w:pPr>
              <w:pStyle w:val="Text"/>
              <w:rPr>
                <w:rFonts w:ascii="Arial" w:hAnsi="Arial" w:cs="Arial"/>
                <w:szCs w:val="20"/>
              </w:rPr>
            </w:pPr>
            <w:r w:rsidRPr="001762E2">
              <w:rPr>
                <w:rFonts w:ascii="Arial" w:hAnsi="Arial" w:cs="Arial"/>
                <w:szCs w:val="20"/>
              </w:rPr>
              <w:fldChar w:fldCharType="begin"/>
            </w:r>
            <w:r w:rsidRPr="001762E2">
              <w:rPr>
                <w:rFonts w:ascii="Arial" w:hAnsi="Arial" w:cs="Arial"/>
                <w:szCs w:val="20"/>
              </w:rPr>
              <w:instrText xml:space="preserve"> USERNAME  </w:instrText>
            </w:r>
            <w:r w:rsidRPr="001762E2">
              <w:rPr>
                <w:rFonts w:ascii="Arial" w:hAnsi="Arial" w:cs="Arial"/>
                <w:szCs w:val="20"/>
              </w:rPr>
              <w:fldChar w:fldCharType="separate"/>
            </w:r>
            <w:r w:rsidR="00436ECF" w:rsidRPr="001762E2">
              <w:rPr>
                <w:rFonts w:ascii="Arial" w:hAnsi="Arial" w:cs="Arial"/>
                <w:noProof/>
                <w:szCs w:val="20"/>
              </w:rPr>
              <w:t>Ken Pokalsky</w:t>
            </w:r>
            <w:r w:rsidRPr="001762E2">
              <w:rPr>
                <w:rFonts w:ascii="Arial" w:hAnsi="Arial" w:cs="Arial"/>
                <w:szCs w:val="20"/>
              </w:rPr>
              <w:fldChar w:fldCharType="end"/>
            </w:r>
          </w:p>
        </w:tc>
      </w:tr>
      <w:tr w:rsidR="00F63886" w:rsidRPr="001762E2" w14:paraId="785EB63A" w14:textId="77777777" w:rsidTr="00F028D1">
        <w:trPr>
          <w:trHeight w:val="322"/>
        </w:trPr>
        <w:tc>
          <w:tcPr>
            <w:tcW w:w="1290" w:type="dxa"/>
          </w:tcPr>
          <w:p w14:paraId="11002A3C" w14:textId="77777777" w:rsidR="00F63886" w:rsidRPr="001762E2" w:rsidRDefault="00F63886" w:rsidP="00CE5713">
            <w:pPr>
              <w:pStyle w:val="FieldLabels"/>
              <w:rPr>
                <w:rFonts w:ascii="Arial" w:hAnsi="Arial" w:cs="Arial"/>
                <w:sz w:val="20"/>
                <w:szCs w:val="20"/>
              </w:rPr>
            </w:pPr>
            <w:r w:rsidRPr="001762E2">
              <w:rPr>
                <w:rFonts w:ascii="Arial" w:hAnsi="Arial" w:cs="Arial"/>
                <w:sz w:val="20"/>
                <w:szCs w:val="20"/>
              </w:rPr>
              <w:t>SUBJECT:</w:t>
            </w:r>
          </w:p>
        </w:tc>
        <w:tc>
          <w:tcPr>
            <w:tcW w:w="4727" w:type="dxa"/>
            <w:vAlign w:val="bottom"/>
          </w:tcPr>
          <w:p w14:paraId="4E60F332" w14:textId="6FDA95A3" w:rsidR="00F63886" w:rsidRPr="001762E2" w:rsidRDefault="00436ECF" w:rsidP="00CE5713">
            <w:pPr>
              <w:pStyle w:val="Text"/>
              <w:rPr>
                <w:rFonts w:ascii="Arial" w:hAnsi="Arial" w:cs="Arial"/>
                <w:szCs w:val="20"/>
              </w:rPr>
            </w:pPr>
            <w:r w:rsidRPr="001762E2">
              <w:rPr>
                <w:rFonts w:ascii="Arial" w:hAnsi="Arial" w:cs="Arial"/>
                <w:szCs w:val="20"/>
              </w:rPr>
              <w:t>Key Tax Issues for 2025</w:t>
            </w:r>
          </w:p>
        </w:tc>
      </w:tr>
      <w:tr w:rsidR="00F63886" w:rsidRPr="001762E2" w14:paraId="347B3D7A" w14:textId="77777777" w:rsidTr="00F028D1">
        <w:trPr>
          <w:trHeight w:val="322"/>
        </w:trPr>
        <w:tc>
          <w:tcPr>
            <w:tcW w:w="1290" w:type="dxa"/>
          </w:tcPr>
          <w:p w14:paraId="6481D2F1" w14:textId="77777777" w:rsidR="00F63886" w:rsidRPr="001762E2" w:rsidRDefault="00F63886" w:rsidP="00CE5713">
            <w:pPr>
              <w:pStyle w:val="FieldLabels"/>
              <w:rPr>
                <w:rFonts w:ascii="Arial" w:hAnsi="Arial" w:cs="Arial"/>
                <w:sz w:val="20"/>
                <w:szCs w:val="20"/>
              </w:rPr>
            </w:pPr>
            <w:r w:rsidRPr="001762E2">
              <w:rPr>
                <w:rFonts w:ascii="Arial" w:hAnsi="Arial" w:cs="Arial"/>
                <w:sz w:val="20"/>
                <w:szCs w:val="20"/>
              </w:rPr>
              <w:t>DATE:</w:t>
            </w:r>
          </w:p>
        </w:tc>
        <w:tc>
          <w:tcPr>
            <w:tcW w:w="4727" w:type="dxa"/>
            <w:vAlign w:val="bottom"/>
          </w:tcPr>
          <w:p w14:paraId="63865BC3" w14:textId="77777777" w:rsidR="00F63886" w:rsidRPr="001762E2" w:rsidRDefault="00F63886" w:rsidP="00CE5713">
            <w:pPr>
              <w:pStyle w:val="CurrentDate"/>
              <w:rPr>
                <w:rFonts w:ascii="Arial" w:hAnsi="Arial" w:cs="Arial"/>
                <w:szCs w:val="20"/>
              </w:rPr>
            </w:pPr>
            <w:r w:rsidRPr="001762E2">
              <w:rPr>
                <w:rFonts w:ascii="Arial" w:hAnsi="Arial" w:cs="Arial"/>
                <w:szCs w:val="20"/>
              </w:rPr>
              <w:fldChar w:fldCharType="begin"/>
            </w:r>
            <w:r w:rsidRPr="001762E2">
              <w:rPr>
                <w:rFonts w:ascii="Arial" w:hAnsi="Arial" w:cs="Arial"/>
                <w:szCs w:val="20"/>
              </w:rPr>
              <w:instrText xml:space="preserve"> CREATEDATE  \@ "M/d/yy" </w:instrText>
            </w:r>
            <w:r w:rsidRPr="001762E2">
              <w:rPr>
                <w:rFonts w:ascii="Arial" w:hAnsi="Arial" w:cs="Arial"/>
                <w:szCs w:val="20"/>
              </w:rPr>
              <w:fldChar w:fldCharType="separate"/>
            </w:r>
            <w:r w:rsidR="00436ECF" w:rsidRPr="001762E2">
              <w:rPr>
                <w:rFonts w:ascii="Arial" w:hAnsi="Arial" w:cs="Arial"/>
                <w:noProof/>
                <w:szCs w:val="20"/>
              </w:rPr>
              <w:t>12/18/24</w:t>
            </w:r>
            <w:r w:rsidRPr="001762E2">
              <w:rPr>
                <w:rFonts w:ascii="Arial" w:hAnsi="Arial" w:cs="Arial"/>
                <w:szCs w:val="20"/>
              </w:rPr>
              <w:fldChar w:fldCharType="end"/>
            </w:r>
          </w:p>
        </w:tc>
      </w:tr>
    </w:tbl>
    <w:p w14:paraId="76F251E6" w14:textId="77777777" w:rsidR="00F63886" w:rsidRPr="001762E2" w:rsidRDefault="00F63886" w:rsidP="00F63886">
      <w:pPr>
        <w:pStyle w:val="Text"/>
        <w:rPr>
          <w:rFonts w:ascii="Arial" w:hAnsi="Arial" w:cs="Arial"/>
          <w:szCs w:val="20"/>
        </w:rPr>
      </w:pPr>
    </w:p>
    <w:p w14:paraId="2F5C05A7" w14:textId="77777777" w:rsidR="00436ECF" w:rsidRPr="001762E2" w:rsidRDefault="00436ECF" w:rsidP="00F63886">
      <w:pPr>
        <w:pStyle w:val="Text"/>
        <w:rPr>
          <w:rFonts w:ascii="Arial" w:hAnsi="Arial" w:cs="Arial"/>
          <w:szCs w:val="20"/>
        </w:rPr>
      </w:pPr>
    </w:p>
    <w:p w14:paraId="56AB01A1" w14:textId="5619FA23" w:rsidR="00436ECF" w:rsidRPr="001762E2" w:rsidRDefault="00436ECF" w:rsidP="00F63886">
      <w:pPr>
        <w:pStyle w:val="Text"/>
        <w:rPr>
          <w:rFonts w:ascii="Arial" w:hAnsi="Arial" w:cs="Arial"/>
          <w:szCs w:val="20"/>
        </w:rPr>
      </w:pPr>
      <w:r w:rsidRPr="001762E2">
        <w:rPr>
          <w:rFonts w:ascii="Arial" w:hAnsi="Arial" w:cs="Arial"/>
          <w:szCs w:val="20"/>
        </w:rPr>
        <w:t>I appreciate the opportunity to discuss several of our key Tax legislation concerns for 2025.  The following provides an overview of these issues.  Please let us know if you would like additional information on any of these issues, and we would be happy to do follow</w:t>
      </w:r>
      <w:r w:rsidR="001762E2" w:rsidRPr="001762E2">
        <w:rPr>
          <w:rFonts w:ascii="Arial" w:hAnsi="Arial" w:cs="Arial"/>
          <w:szCs w:val="20"/>
        </w:rPr>
        <w:t>-</w:t>
      </w:r>
      <w:r w:rsidRPr="001762E2">
        <w:rPr>
          <w:rFonts w:ascii="Arial" w:hAnsi="Arial" w:cs="Arial"/>
          <w:szCs w:val="20"/>
        </w:rPr>
        <w:t xml:space="preserve">up discussions with </w:t>
      </w:r>
      <w:r w:rsidR="001762E2" w:rsidRPr="001762E2">
        <w:rPr>
          <w:rFonts w:ascii="Arial" w:hAnsi="Arial" w:cs="Arial"/>
          <w:szCs w:val="20"/>
        </w:rPr>
        <w:t xml:space="preserve">you, </w:t>
      </w:r>
      <w:r w:rsidRPr="001762E2">
        <w:rPr>
          <w:rFonts w:ascii="Arial" w:hAnsi="Arial" w:cs="Arial"/>
          <w:szCs w:val="20"/>
        </w:rPr>
        <w:t>your staff and</w:t>
      </w:r>
      <w:r w:rsidR="001762E2" w:rsidRPr="001762E2">
        <w:rPr>
          <w:rFonts w:ascii="Arial" w:hAnsi="Arial" w:cs="Arial"/>
          <w:szCs w:val="20"/>
        </w:rPr>
        <w:t>/or</w:t>
      </w:r>
      <w:r w:rsidRPr="001762E2">
        <w:rPr>
          <w:rFonts w:ascii="Arial" w:hAnsi="Arial" w:cs="Arial"/>
          <w:szCs w:val="20"/>
        </w:rPr>
        <w:t xml:space="preserve"> Senate Finance staff.</w:t>
      </w:r>
    </w:p>
    <w:p w14:paraId="6CE32AC6" w14:textId="77777777" w:rsidR="001762E2" w:rsidRPr="001762E2" w:rsidRDefault="001762E2" w:rsidP="00F63886">
      <w:pPr>
        <w:pStyle w:val="Text"/>
        <w:rPr>
          <w:rFonts w:ascii="Arial" w:hAnsi="Arial" w:cs="Arial"/>
          <w:szCs w:val="20"/>
        </w:rPr>
      </w:pPr>
    </w:p>
    <w:p w14:paraId="40E70F3A" w14:textId="77777777" w:rsidR="00F63886" w:rsidRPr="001762E2" w:rsidRDefault="00F63886" w:rsidP="00F63886">
      <w:pPr>
        <w:pStyle w:val="Text"/>
        <w:rPr>
          <w:rFonts w:ascii="Arial" w:hAnsi="Arial" w:cs="Arial"/>
          <w:szCs w:val="20"/>
        </w:rPr>
      </w:pPr>
    </w:p>
    <w:p w14:paraId="057A97D8" w14:textId="77777777" w:rsidR="00436ECF" w:rsidRPr="00436ECF" w:rsidRDefault="00436ECF" w:rsidP="00436ECF">
      <w:pPr>
        <w:spacing w:after="160" w:line="259" w:lineRule="auto"/>
        <w:rPr>
          <w:rFonts w:ascii="Arial" w:eastAsia="Aptos" w:hAnsi="Arial" w:cs="Arial"/>
          <w:b/>
          <w:bCs/>
          <w:kern w:val="2"/>
          <w:sz w:val="20"/>
          <w14:ligatures w14:val="standardContextual"/>
        </w:rPr>
      </w:pPr>
      <w:r w:rsidRPr="00436ECF">
        <w:rPr>
          <w:rFonts w:ascii="Arial" w:eastAsia="Aptos" w:hAnsi="Arial" w:cs="Arial"/>
          <w:b/>
          <w:bCs/>
          <w:kern w:val="2"/>
          <w:sz w:val="20"/>
          <w14:ligatures w14:val="standardContextual"/>
        </w:rPr>
        <w:t>Proactive Tax Reform Agenda</w:t>
      </w:r>
    </w:p>
    <w:p w14:paraId="2372CA59" w14:textId="77777777" w:rsidR="00436ECF" w:rsidRPr="00436ECF" w:rsidRDefault="00436ECF" w:rsidP="00436ECF">
      <w:pPr>
        <w:spacing w:after="160" w:line="259" w:lineRule="auto"/>
        <w:rPr>
          <w:rFonts w:ascii="Arial" w:eastAsia="Aptos" w:hAnsi="Arial" w:cs="Arial"/>
          <w:kern w:val="2"/>
          <w:sz w:val="20"/>
          <w14:ligatures w14:val="standardContextual"/>
        </w:rPr>
      </w:pPr>
      <w:r w:rsidRPr="00436ECF">
        <w:rPr>
          <w:rFonts w:ascii="Arial" w:eastAsia="Aptos" w:hAnsi="Arial" w:cs="Arial"/>
          <w:kern w:val="2"/>
          <w:sz w:val="20"/>
          <w:u w:val="single"/>
          <w14:ligatures w14:val="standardContextual"/>
        </w:rPr>
        <w:t>Extended PTET election period</w:t>
      </w:r>
      <w:r w:rsidRPr="00436ECF">
        <w:rPr>
          <w:rFonts w:ascii="Arial" w:eastAsia="Aptos" w:hAnsi="Arial" w:cs="Arial"/>
          <w:kern w:val="2"/>
          <w:sz w:val="20"/>
          <w14:ligatures w14:val="standardContextual"/>
        </w:rPr>
        <w:t xml:space="preserve"> - S.8115-B (Skoufis)/A.8451-A (Paulin) – Allows “pass through entity tax” election up to September 15 of a tax year (currently March 15), requires “catch up” payment of estimated taxes, authorize taxpayers to use an “annualized income installment method” for the computation of estimated payments as allowed for PIT estimated payments.  Most states allow PTET election upon filing of tax returns.  </w:t>
      </w:r>
      <w:hyperlink r:id="rId7" w:history="1">
        <w:r w:rsidRPr="00436ECF">
          <w:rPr>
            <w:rFonts w:ascii="Arial" w:eastAsia="Aptos" w:hAnsi="Arial" w:cs="Arial"/>
            <w:color w:val="467886"/>
            <w:kern w:val="2"/>
            <w:sz w:val="20"/>
            <w:u w:val="single"/>
            <w14:ligatures w14:val="standardContextual"/>
          </w:rPr>
          <w:t>Our memo in support</w:t>
        </w:r>
      </w:hyperlink>
      <w:r w:rsidRPr="00436ECF">
        <w:rPr>
          <w:rFonts w:ascii="Arial" w:eastAsia="Aptos" w:hAnsi="Arial" w:cs="Arial"/>
          <w:kern w:val="2"/>
          <w:sz w:val="20"/>
          <w14:ligatures w14:val="standardContextual"/>
        </w:rPr>
        <w:t>.</w:t>
      </w:r>
    </w:p>
    <w:p w14:paraId="05C96AC3" w14:textId="77777777" w:rsidR="00436ECF" w:rsidRPr="00436ECF" w:rsidRDefault="00436ECF" w:rsidP="00436ECF">
      <w:pPr>
        <w:spacing w:after="160" w:line="259" w:lineRule="auto"/>
        <w:rPr>
          <w:rFonts w:ascii="Arial" w:eastAsia="Aptos" w:hAnsi="Arial" w:cs="Arial"/>
          <w:kern w:val="2"/>
          <w:sz w:val="20"/>
          <w14:ligatures w14:val="standardContextual"/>
        </w:rPr>
      </w:pPr>
      <w:r w:rsidRPr="00436ECF">
        <w:rPr>
          <w:rFonts w:ascii="Arial" w:eastAsia="Aptos" w:hAnsi="Arial" w:cs="Arial"/>
          <w:kern w:val="2"/>
          <w:sz w:val="20"/>
          <w:u w:val="single"/>
          <w14:ligatures w14:val="standardContextual"/>
        </w:rPr>
        <w:t>“Work Opportunity Tax Credit</w:t>
      </w:r>
      <w:r w:rsidRPr="00436ECF">
        <w:rPr>
          <w:rFonts w:ascii="Arial" w:eastAsia="Aptos" w:hAnsi="Arial" w:cs="Arial"/>
          <w:kern w:val="2"/>
          <w:sz w:val="20"/>
          <w14:ligatures w14:val="standardContextual"/>
        </w:rPr>
        <w:t xml:space="preserve"> - S.4833-B (Skoufis)/A.8905 (Bronson) - Creates a counterpart to the federal WOTC under corporate franchise, personal income and insurance tax, with a capped, refundable tax credit that provides an incentive for the hiring of persons in one of ten targeted groups that face barriers to employment.  Federal data shows the WOTC is underutilized in NYS.  A version was included in both Senate and Assembly one-house budget resolutions of SFY 2025, i.e., S.8309-A, Part FF and A.8809-A, Part CC.  State implementation will be straightforward as the criteria and calculations for the state WOTC will be the same as under federal law, and the New York State Department of Labor is already responsible for certifying employee eligibility under the federal WOTC, under federal designation.  </w:t>
      </w:r>
      <w:hyperlink r:id="rId8" w:history="1">
        <w:r w:rsidRPr="00436ECF">
          <w:rPr>
            <w:rFonts w:ascii="Arial" w:eastAsia="Aptos" w:hAnsi="Arial" w:cs="Arial"/>
            <w:color w:val="467886"/>
            <w:kern w:val="2"/>
            <w:sz w:val="20"/>
            <w:u w:val="single"/>
            <w14:ligatures w14:val="standardContextual"/>
          </w:rPr>
          <w:t>Our memo in support</w:t>
        </w:r>
      </w:hyperlink>
      <w:r w:rsidRPr="00436ECF">
        <w:rPr>
          <w:rFonts w:ascii="Arial" w:eastAsia="Aptos" w:hAnsi="Arial" w:cs="Arial"/>
          <w:kern w:val="2"/>
          <w:sz w:val="20"/>
          <w14:ligatures w14:val="standardContextual"/>
        </w:rPr>
        <w:t>.</w:t>
      </w:r>
    </w:p>
    <w:p w14:paraId="1B1177AF" w14:textId="77777777" w:rsidR="00436ECF" w:rsidRPr="00436ECF" w:rsidRDefault="00436ECF" w:rsidP="00436ECF">
      <w:pPr>
        <w:spacing w:after="160" w:line="259" w:lineRule="auto"/>
        <w:rPr>
          <w:rFonts w:ascii="Arial" w:eastAsia="Aptos" w:hAnsi="Arial" w:cs="Arial"/>
          <w:kern w:val="2"/>
          <w:sz w:val="20"/>
          <w14:ligatures w14:val="standardContextual"/>
        </w:rPr>
      </w:pPr>
      <w:r w:rsidRPr="00436ECF">
        <w:rPr>
          <w:rFonts w:ascii="Arial" w:eastAsia="Aptos" w:hAnsi="Arial" w:cs="Arial"/>
          <w:kern w:val="2"/>
          <w:sz w:val="20"/>
          <w:u w:val="single"/>
          <w14:ligatures w14:val="standardContextual"/>
        </w:rPr>
        <w:t>Manufacturing “rate parity”</w:t>
      </w:r>
      <w:r w:rsidRPr="00436ECF">
        <w:rPr>
          <w:rFonts w:ascii="Arial" w:eastAsia="Aptos" w:hAnsi="Arial" w:cs="Arial"/>
          <w:kern w:val="2"/>
          <w:sz w:val="20"/>
          <w14:ligatures w14:val="standardContextual"/>
        </w:rPr>
        <w:t xml:space="preserve"> – S.4064 (Mannion)/A.4168 (Stirpe) - Provides a personal income tax exemption for income earned by a “qualified pass-through manufacture,” to achieve comparable treatment with manufacturers under Article 9-A, which provides a zero “entire net income” rate for manufacturers.   This legislation does the same thing for manufacturers organized as partnerships, LLCs, s-corporations or sole proprietorship.  Note, this was in the Assembly budget resolution for SFY 2023 (A.9009-B, Part GG) and 2024 (A.3009-B, Part HH).  </w:t>
      </w:r>
      <w:hyperlink r:id="rId9" w:history="1">
        <w:r w:rsidRPr="00436ECF">
          <w:rPr>
            <w:rFonts w:ascii="Arial" w:eastAsia="Aptos" w:hAnsi="Arial" w:cs="Arial"/>
            <w:color w:val="467886"/>
            <w:kern w:val="2"/>
            <w:sz w:val="20"/>
            <w:u w:val="single"/>
            <w14:ligatures w14:val="standardContextual"/>
          </w:rPr>
          <w:t>Our memo in support</w:t>
        </w:r>
      </w:hyperlink>
      <w:r w:rsidRPr="00436ECF">
        <w:rPr>
          <w:rFonts w:ascii="Arial" w:eastAsia="Aptos" w:hAnsi="Arial" w:cs="Arial"/>
          <w:kern w:val="2"/>
          <w:sz w:val="20"/>
          <w14:ligatures w14:val="standardContextual"/>
        </w:rPr>
        <w:t xml:space="preserve">.  </w:t>
      </w:r>
    </w:p>
    <w:p w14:paraId="08293AF0" w14:textId="77777777" w:rsidR="00436ECF" w:rsidRPr="00436ECF" w:rsidRDefault="00436ECF" w:rsidP="00436ECF">
      <w:pPr>
        <w:spacing w:after="160" w:line="259" w:lineRule="auto"/>
        <w:rPr>
          <w:rFonts w:ascii="Arial" w:eastAsia="Aptos" w:hAnsi="Arial" w:cs="Arial"/>
          <w:kern w:val="2"/>
          <w:sz w:val="20"/>
          <w14:ligatures w14:val="standardContextual"/>
        </w:rPr>
      </w:pPr>
      <w:r w:rsidRPr="00436ECF">
        <w:rPr>
          <w:rFonts w:ascii="Arial" w:eastAsia="Aptos" w:hAnsi="Arial" w:cs="Arial"/>
          <w:kern w:val="2"/>
          <w:sz w:val="20"/>
          <w:u w:val="single"/>
          <w14:ligatures w14:val="standardContextual"/>
        </w:rPr>
        <w:t xml:space="preserve">Eliminate insurance tax “double taxation” </w:t>
      </w:r>
      <w:r w:rsidRPr="00436ECF">
        <w:rPr>
          <w:rFonts w:ascii="Arial" w:eastAsia="Aptos" w:hAnsi="Arial" w:cs="Arial"/>
          <w:kern w:val="2"/>
          <w:sz w:val="20"/>
          <w14:ligatures w14:val="standardContextual"/>
        </w:rPr>
        <w:t>- Amend Article 9-A to explicitly exclude “insurance subsidiary capital” (as defined in Tax Law §1500(h) from the definition of “business capital” to remove the unintended double taxation on regulatory capital for P&amp;C insurance corporation taxed under 9-A.  2014 tax reform repealed the Article 9-A tax on subsidiary capital in its entirety, as part of broader reform, including its exclusion from “business capital”, unintentionally leaving insurance subsidiary capital in the 9-A capital base calculation. The inclusion of Insurance Subsidiary Capital in the capital base calculation results in double taxation on regulatory capital for P&amp;C insurance corporation that was not considered or contemplated in the legislative history.  Legislation being drafted.</w:t>
      </w:r>
    </w:p>
    <w:p w14:paraId="50B9D487" w14:textId="3A8A6340" w:rsidR="00436ECF" w:rsidRPr="00436ECF" w:rsidRDefault="00436ECF" w:rsidP="00436ECF">
      <w:pPr>
        <w:spacing w:after="160" w:line="259" w:lineRule="auto"/>
        <w:rPr>
          <w:rFonts w:ascii="Arial" w:eastAsia="Aptos" w:hAnsi="Arial" w:cs="Arial"/>
          <w:b/>
          <w:bCs/>
          <w:kern w:val="2"/>
          <w:sz w:val="20"/>
          <w14:ligatures w14:val="standardContextual"/>
        </w:rPr>
      </w:pPr>
      <w:r w:rsidRPr="00436ECF">
        <w:rPr>
          <w:rFonts w:ascii="Arial" w:eastAsia="Aptos" w:hAnsi="Arial" w:cs="Arial"/>
          <w:b/>
          <w:bCs/>
          <w:kern w:val="2"/>
          <w:sz w:val="20"/>
          <w14:ligatures w14:val="standardContextual"/>
        </w:rPr>
        <w:t>Legislation of Concern</w:t>
      </w:r>
    </w:p>
    <w:p w14:paraId="041B1EF5" w14:textId="3AC2EA25" w:rsidR="00436ECF" w:rsidRPr="00436ECF" w:rsidRDefault="00436ECF" w:rsidP="00436ECF">
      <w:pPr>
        <w:spacing w:after="160" w:line="259" w:lineRule="auto"/>
        <w:rPr>
          <w:rFonts w:ascii="Arial" w:eastAsia="Aptos" w:hAnsi="Arial" w:cs="Arial"/>
          <w:kern w:val="2"/>
          <w:sz w:val="20"/>
          <w14:ligatures w14:val="standardContextual"/>
        </w:rPr>
      </w:pPr>
      <w:r w:rsidRPr="00436ECF">
        <w:rPr>
          <w:rFonts w:ascii="Arial" w:eastAsia="Aptos" w:hAnsi="Arial" w:cs="Arial"/>
          <w:kern w:val="2"/>
          <w:sz w:val="20"/>
          <w:u w:val="single"/>
          <w14:ligatures w14:val="standardContextual"/>
        </w:rPr>
        <w:t>False Claims Act</w:t>
      </w:r>
      <w:r w:rsidRPr="00436ECF">
        <w:rPr>
          <w:rFonts w:ascii="Arial" w:eastAsia="Aptos" w:hAnsi="Arial" w:cs="Arial"/>
          <w:kern w:val="2"/>
          <w:sz w:val="20"/>
          <w14:ligatures w14:val="standardContextual"/>
        </w:rPr>
        <w:t xml:space="preserve"> - S.9813 (Krueger)/A.10514 (Rules/Weinstein) at the Request of the Attorney General.  Further modifies the FCA application to tax issues to redefine what constitutes “material” information in a way contrary to agency definitions and case law (more detailed analysis available upon request) and applies the FCA to multiple persons if any person subject to the claim has income over $1 million or assets over $5 million.  </w:t>
      </w:r>
      <w:hyperlink r:id="rId10" w:history="1">
        <w:r w:rsidRPr="00436ECF">
          <w:rPr>
            <w:rFonts w:ascii="Arial" w:eastAsia="Aptos" w:hAnsi="Arial" w:cs="Arial"/>
            <w:color w:val="467886"/>
            <w:kern w:val="2"/>
            <w:sz w:val="20"/>
            <w:u w:val="single"/>
            <w14:ligatures w14:val="standardContextual"/>
          </w:rPr>
          <w:t>Our memo in opposition</w:t>
        </w:r>
      </w:hyperlink>
      <w:r w:rsidRPr="00436ECF">
        <w:rPr>
          <w:rFonts w:ascii="Arial" w:eastAsia="Aptos" w:hAnsi="Arial" w:cs="Arial"/>
          <w:kern w:val="2"/>
          <w:sz w:val="20"/>
          <w14:ligatures w14:val="standardContextual"/>
        </w:rPr>
        <w:t>.</w:t>
      </w:r>
    </w:p>
    <w:p w14:paraId="5E8CE161" w14:textId="46785E98" w:rsidR="0040293C" w:rsidRPr="001762E2" w:rsidRDefault="00436ECF" w:rsidP="00436ECF">
      <w:pPr>
        <w:pStyle w:val="Text"/>
        <w:rPr>
          <w:rFonts w:ascii="Arial" w:eastAsia="Aptos" w:hAnsi="Arial" w:cs="Arial"/>
          <w:kern w:val="2"/>
          <w:szCs w:val="20"/>
          <w14:ligatures w14:val="standardContextual"/>
        </w:rPr>
      </w:pPr>
      <w:r w:rsidRPr="001762E2">
        <w:rPr>
          <w:rFonts w:ascii="Arial" w:eastAsia="Aptos" w:hAnsi="Arial" w:cs="Arial"/>
          <w:kern w:val="2"/>
          <w:szCs w:val="20"/>
          <w:u w:val="single"/>
          <w14:ligatures w14:val="standardContextual"/>
        </w:rPr>
        <w:lastRenderedPageBreak/>
        <w:t>Data Tax</w:t>
      </w:r>
      <w:r w:rsidRPr="001762E2">
        <w:rPr>
          <w:rFonts w:ascii="Arial" w:eastAsia="Aptos" w:hAnsi="Arial" w:cs="Arial"/>
          <w:kern w:val="2"/>
          <w:szCs w:val="20"/>
          <w14:ligatures w14:val="standardContextual"/>
        </w:rPr>
        <w:t xml:space="preserve"> – S.2012 (Krueger)/A.3959 (Braunstein) – We oppose the creation of a new monthly excise tax on the collection of the consumer data.  As drafted, this legislation would impose a tax on such data collectors, regardless of what the collected data is used for, including cases where the data is only used in providing the data collector’s services to its customers. This is a broader application of a data collection tax than proposed in other bills pending in New York.  </w:t>
      </w:r>
      <w:hyperlink r:id="rId11" w:history="1">
        <w:r w:rsidR="001762E2">
          <w:rPr>
            <w:rFonts w:ascii="Arial" w:eastAsia="Aptos" w:hAnsi="Arial" w:cs="Arial"/>
            <w:color w:val="467886"/>
            <w:kern w:val="2"/>
            <w:szCs w:val="20"/>
            <w:u w:val="single"/>
            <w14:ligatures w14:val="standardContextual"/>
          </w:rPr>
          <w:t>Our m</w:t>
        </w:r>
        <w:r w:rsidRPr="001762E2">
          <w:rPr>
            <w:rFonts w:ascii="Arial" w:eastAsia="Aptos" w:hAnsi="Arial" w:cs="Arial"/>
            <w:color w:val="467886"/>
            <w:kern w:val="2"/>
            <w:szCs w:val="20"/>
            <w:u w:val="single"/>
            <w14:ligatures w14:val="standardContextual"/>
          </w:rPr>
          <w:t>emo in opposition.</w:t>
        </w:r>
      </w:hyperlink>
    </w:p>
    <w:p w14:paraId="6E5C63F2" w14:textId="77777777" w:rsidR="00436ECF" w:rsidRPr="001762E2" w:rsidRDefault="00436ECF" w:rsidP="00436ECF">
      <w:pPr>
        <w:pStyle w:val="Text"/>
        <w:rPr>
          <w:rFonts w:ascii="Arial" w:eastAsia="Aptos" w:hAnsi="Arial" w:cs="Arial"/>
          <w:kern w:val="2"/>
          <w:szCs w:val="20"/>
          <w14:ligatures w14:val="standardContextual"/>
        </w:rPr>
      </w:pPr>
    </w:p>
    <w:p w14:paraId="614706D6" w14:textId="42CB1BCB" w:rsidR="001762E2" w:rsidRDefault="00436ECF" w:rsidP="001762E2">
      <w:pPr>
        <w:pStyle w:val="Text"/>
        <w:rPr>
          <w:rFonts w:ascii="Arial" w:hAnsi="Arial" w:cs="Arial"/>
          <w:szCs w:val="20"/>
        </w:rPr>
      </w:pPr>
      <w:r w:rsidRPr="001762E2">
        <w:rPr>
          <w:rFonts w:ascii="Arial" w:eastAsia="Aptos" w:hAnsi="Arial" w:cs="Arial"/>
          <w:kern w:val="2"/>
          <w:szCs w:val="20"/>
          <w:u w:val="single"/>
          <w14:ligatures w14:val="standardContextual"/>
        </w:rPr>
        <w:t xml:space="preserve">Tax Credit </w:t>
      </w:r>
      <w:r w:rsidR="001762E2" w:rsidRPr="001762E2">
        <w:rPr>
          <w:rFonts w:ascii="Arial" w:eastAsia="Aptos" w:hAnsi="Arial" w:cs="Arial"/>
          <w:kern w:val="2"/>
          <w:szCs w:val="20"/>
          <w:u w:val="single"/>
          <w14:ligatures w14:val="standardContextual"/>
        </w:rPr>
        <w:t>Repeals</w:t>
      </w:r>
      <w:r w:rsidR="001762E2">
        <w:rPr>
          <w:rFonts w:ascii="Arial" w:eastAsia="Aptos" w:hAnsi="Arial" w:cs="Arial"/>
          <w:kern w:val="2"/>
          <w:szCs w:val="20"/>
          <w14:ligatures w14:val="standardContextual"/>
        </w:rPr>
        <w:t xml:space="preserve"> - </w:t>
      </w:r>
      <w:r w:rsidR="001762E2" w:rsidRPr="001762E2">
        <w:rPr>
          <w:rFonts w:ascii="Arial" w:eastAsia="Aptos" w:hAnsi="Arial" w:cs="Arial"/>
          <w:kern w:val="2"/>
          <w:szCs w:val="20"/>
          <w14:ligatures w14:val="standardContextual"/>
        </w:rPr>
        <w:t>S.8309-A, Part GG</w:t>
      </w:r>
      <w:r w:rsidR="001762E2">
        <w:rPr>
          <w:rFonts w:ascii="Arial" w:eastAsia="Aptos" w:hAnsi="Arial" w:cs="Arial"/>
          <w:kern w:val="2"/>
          <w:szCs w:val="20"/>
          <w14:ligatures w14:val="standardContextual"/>
        </w:rPr>
        <w:t xml:space="preserve"> (Budget) – While we have opposed the Senate’s budget resolution proposal to repeal tax exemptions related to the development or use of certain fossil fuels, w</w:t>
      </w:r>
      <w:r w:rsidRPr="001762E2">
        <w:rPr>
          <w:rFonts w:ascii="Arial" w:hAnsi="Arial" w:cs="Arial"/>
          <w:szCs w:val="20"/>
        </w:rPr>
        <w:t xml:space="preserve">e have particular concern regarding proposals that would result in “tax pyramiding” though imposition of taxes on industrial inputs, </w:t>
      </w:r>
      <w:r w:rsidR="001762E2">
        <w:rPr>
          <w:rFonts w:ascii="Arial" w:hAnsi="Arial" w:cs="Arial"/>
          <w:szCs w:val="20"/>
        </w:rPr>
        <w:t xml:space="preserve">e.g., </w:t>
      </w:r>
      <w:r w:rsidRPr="001762E2">
        <w:rPr>
          <w:rFonts w:ascii="Arial" w:hAnsi="Arial" w:cs="Arial"/>
          <w:szCs w:val="20"/>
        </w:rPr>
        <w:t>the repeal of the Petroleum Business Tax exemption for manufacturing</w:t>
      </w:r>
      <w:r w:rsidR="001762E2">
        <w:rPr>
          <w:rFonts w:ascii="Arial" w:hAnsi="Arial" w:cs="Arial"/>
          <w:szCs w:val="20"/>
        </w:rPr>
        <w:t xml:space="preserve"> and the Sales Tax exemption for fuel and natural gas used in manufacturing. </w:t>
      </w:r>
      <w:hyperlink r:id="rId12" w:history="1">
        <w:r w:rsidR="001762E2" w:rsidRPr="001762E2">
          <w:rPr>
            <w:rStyle w:val="Hyperlink"/>
            <w:rFonts w:ascii="Arial" w:hAnsi="Arial" w:cs="Arial"/>
            <w:szCs w:val="20"/>
          </w:rPr>
          <w:t>Our memo in opposition</w:t>
        </w:r>
      </w:hyperlink>
      <w:r w:rsidR="001762E2">
        <w:rPr>
          <w:rFonts w:ascii="Arial" w:hAnsi="Arial" w:cs="Arial"/>
          <w:szCs w:val="20"/>
        </w:rPr>
        <w:t>.</w:t>
      </w:r>
    </w:p>
    <w:p w14:paraId="5CC378AA" w14:textId="77777777" w:rsidR="001762E2" w:rsidRPr="001762E2" w:rsidRDefault="001762E2" w:rsidP="001762E2">
      <w:pPr>
        <w:pStyle w:val="Text"/>
        <w:rPr>
          <w:rFonts w:ascii="Arial" w:hAnsi="Arial" w:cs="Arial"/>
          <w:szCs w:val="20"/>
        </w:rPr>
      </w:pPr>
    </w:p>
    <w:p w14:paraId="7CDE27AA" w14:textId="0892337A" w:rsidR="00436ECF" w:rsidRPr="001762E2" w:rsidRDefault="00436ECF" w:rsidP="00436ECF">
      <w:pPr>
        <w:pStyle w:val="Text"/>
        <w:rPr>
          <w:rFonts w:ascii="Arial" w:hAnsi="Arial" w:cs="Arial"/>
          <w:szCs w:val="20"/>
        </w:rPr>
      </w:pPr>
    </w:p>
    <w:p w14:paraId="33E2382F" w14:textId="77777777" w:rsidR="001762E2" w:rsidRDefault="001762E2" w:rsidP="001762E2">
      <w:pPr>
        <w:pStyle w:val="Text"/>
        <w:rPr>
          <w:rFonts w:ascii="Arial" w:hAnsi="Arial" w:cs="Arial"/>
          <w:szCs w:val="20"/>
        </w:rPr>
      </w:pPr>
    </w:p>
    <w:p w14:paraId="4D637A55" w14:textId="1434425A" w:rsidR="001762E2" w:rsidRPr="001762E2" w:rsidRDefault="001762E2" w:rsidP="001762E2">
      <w:pPr>
        <w:pStyle w:val="Text"/>
        <w:rPr>
          <w:rFonts w:ascii="Arial" w:hAnsi="Arial" w:cs="Arial"/>
          <w:szCs w:val="20"/>
        </w:rPr>
      </w:pPr>
      <w:r w:rsidRPr="001762E2">
        <w:rPr>
          <w:rFonts w:ascii="Arial" w:hAnsi="Arial" w:cs="Arial"/>
          <w:szCs w:val="20"/>
        </w:rPr>
        <w:t>Ken Pokalsky, Vice President</w:t>
      </w:r>
    </w:p>
    <w:p w14:paraId="7C58DE4D" w14:textId="77777777" w:rsidR="001762E2" w:rsidRPr="001762E2" w:rsidRDefault="001762E2" w:rsidP="001762E2">
      <w:pPr>
        <w:pStyle w:val="Text"/>
        <w:rPr>
          <w:rFonts w:ascii="Arial" w:hAnsi="Arial" w:cs="Arial"/>
          <w:szCs w:val="20"/>
        </w:rPr>
      </w:pPr>
      <w:r w:rsidRPr="001762E2">
        <w:rPr>
          <w:rFonts w:ascii="Arial" w:hAnsi="Arial" w:cs="Arial"/>
          <w:szCs w:val="20"/>
        </w:rPr>
        <w:t>The Business Council of New York State, Inc.</w:t>
      </w:r>
    </w:p>
    <w:p w14:paraId="78551E7D" w14:textId="723E28F6" w:rsidR="001762E2" w:rsidRPr="001762E2" w:rsidRDefault="001762E2" w:rsidP="001762E2">
      <w:pPr>
        <w:pStyle w:val="Text"/>
        <w:rPr>
          <w:rFonts w:ascii="Arial" w:hAnsi="Arial" w:cs="Arial"/>
          <w:szCs w:val="20"/>
        </w:rPr>
      </w:pPr>
      <w:r w:rsidRPr="001762E2">
        <w:rPr>
          <w:rFonts w:ascii="Arial" w:hAnsi="Arial" w:cs="Arial"/>
          <w:szCs w:val="20"/>
        </w:rPr>
        <w:t>111 Washington Avenue, Albany, NY 12210</w:t>
      </w:r>
    </w:p>
    <w:p w14:paraId="747F9E9D" w14:textId="610E23F4" w:rsidR="001762E2" w:rsidRPr="001762E2" w:rsidRDefault="001762E2" w:rsidP="001762E2">
      <w:pPr>
        <w:pStyle w:val="Text"/>
        <w:rPr>
          <w:rFonts w:ascii="Arial" w:hAnsi="Arial" w:cs="Arial"/>
          <w:szCs w:val="20"/>
        </w:rPr>
      </w:pPr>
      <w:r w:rsidRPr="001762E2">
        <w:rPr>
          <w:rFonts w:ascii="Arial" w:hAnsi="Arial" w:cs="Arial"/>
          <w:szCs w:val="20"/>
        </w:rPr>
        <w:t>Direct 518.694.4460</w:t>
      </w:r>
    </w:p>
    <w:p w14:paraId="7F8E05A6" w14:textId="14D59B58" w:rsidR="001762E2" w:rsidRPr="001762E2" w:rsidRDefault="001762E2" w:rsidP="001762E2">
      <w:pPr>
        <w:pStyle w:val="Text"/>
        <w:rPr>
          <w:rFonts w:ascii="Arial" w:hAnsi="Arial" w:cs="Arial"/>
          <w:szCs w:val="20"/>
        </w:rPr>
      </w:pPr>
      <w:hyperlink r:id="rId13" w:history="1">
        <w:r w:rsidRPr="001762E2">
          <w:rPr>
            <w:rStyle w:val="Hyperlink"/>
            <w:rFonts w:ascii="Arial" w:hAnsi="Arial" w:cs="Arial"/>
            <w:szCs w:val="20"/>
          </w:rPr>
          <w:t>ken.pokalsky@bcnys.org</w:t>
        </w:r>
      </w:hyperlink>
      <w:r w:rsidRPr="001762E2">
        <w:rPr>
          <w:rFonts w:ascii="Arial" w:hAnsi="Arial" w:cs="Arial"/>
          <w:szCs w:val="20"/>
        </w:rPr>
        <w:t xml:space="preserve"> </w:t>
      </w:r>
    </w:p>
    <w:sectPr w:rsidR="001762E2" w:rsidRPr="001762E2" w:rsidSect="00DC6799">
      <w:headerReference w:type="even" r:id="rId14"/>
      <w:headerReference w:type="default" r:id="rId15"/>
      <w:footerReference w:type="even" r:id="rId16"/>
      <w:footerReference w:type="default" r:id="rId17"/>
      <w:headerReference w:type="first" r:id="rId18"/>
      <w:footerReference w:type="first" r:id="rId19"/>
      <w:pgSz w:w="12240" w:h="15840"/>
      <w:pgMar w:top="1350" w:right="1080" w:bottom="540" w:left="990" w:header="450" w:footer="4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971D" w14:textId="77777777" w:rsidR="00436ECF" w:rsidRDefault="00436ECF">
      <w:r>
        <w:separator/>
      </w:r>
    </w:p>
  </w:endnote>
  <w:endnote w:type="continuationSeparator" w:id="0">
    <w:p w14:paraId="79A20134" w14:textId="77777777" w:rsidR="00436ECF" w:rsidRDefault="0043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F135" w14:textId="77777777" w:rsidR="0053726F" w:rsidRDefault="005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4463" w14:textId="77777777" w:rsidR="0053726F" w:rsidRPr="0053726F" w:rsidRDefault="0053726F">
    <w:pPr>
      <w:pStyle w:val="Footer"/>
      <w:jc w:val="right"/>
      <w:rPr>
        <w:rFonts w:ascii="Arial" w:hAnsi="Arial" w:cs="Arial"/>
      </w:rPr>
    </w:pPr>
    <w:r w:rsidRPr="0053726F">
      <w:rPr>
        <w:rFonts w:ascii="Arial" w:hAnsi="Arial" w:cs="Arial"/>
      </w:rPr>
      <w:t xml:space="preserve">Page </w:t>
    </w:r>
    <w:r w:rsidRPr="0053726F">
      <w:rPr>
        <w:rFonts w:ascii="Arial" w:hAnsi="Arial" w:cs="Arial"/>
        <w:bCs/>
        <w:szCs w:val="24"/>
      </w:rPr>
      <w:fldChar w:fldCharType="begin"/>
    </w:r>
    <w:r w:rsidRPr="0053726F">
      <w:rPr>
        <w:rFonts w:ascii="Arial" w:hAnsi="Arial" w:cs="Arial"/>
        <w:bCs/>
      </w:rPr>
      <w:instrText xml:space="preserve"> PAGE </w:instrText>
    </w:r>
    <w:r w:rsidRPr="0053726F">
      <w:rPr>
        <w:rFonts w:ascii="Arial" w:hAnsi="Arial" w:cs="Arial"/>
        <w:bCs/>
        <w:szCs w:val="24"/>
      </w:rPr>
      <w:fldChar w:fldCharType="separate"/>
    </w:r>
    <w:r w:rsidR="00F63886">
      <w:rPr>
        <w:rFonts w:ascii="Arial" w:hAnsi="Arial" w:cs="Arial"/>
        <w:bCs/>
        <w:noProof/>
      </w:rPr>
      <w:t>2</w:t>
    </w:r>
    <w:r w:rsidRPr="0053726F">
      <w:rPr>
        <w:rFonts w:ascii="Arial" w:hAnsi="Arial" w:cs="Arial"/>
        <w:bCs/>
        <w:szCs w:val="24"/>
      </w:rPr>
      <w:fldChar w:fldCharType="end"/>
    </w:r>
    <w:r w:rsidRPr="0053726F">
      <w:rPr>
        <w:rFonts w:ascii="Arial" w:hAnsi="Arial" w:cs="Arial"/>
      </w:rPr>
      <w:t xml:space="preserve"> of </w:t>
    </w:r>
    <w:r w:rsidRPr="0053726F">
      <w:rPr>
        <w:rFonts w:ascii="Arial" w:hAnsi="Arial" w:cs="Arial"/>
        <w:bCs/>
        <w:szCs w:val="24"/>
      </w:rPr>
      <w:fldChar w:fldCharType="begin"/>
    </w:r>
    <w:r w:rsidRPr="0053726F">
      <w:rPr>
        <w:rFonts w:ascii="Arial" w:hAnsi="Arial" w:cs="Arial"/>
        <w:bCs/>
      </w:rPr>
      <w:instrText xml:space="preserve"> NUMPAGES  </w:instrText>
    </w:r>
    <w:r w:rsidRPr="0053726F">
      <w:rPr>
        <w:rFonts w:ascii="Arial" w:hAnsi="Arial" w:cs="Arial"/>
        <w:bCs/>
        <w:szCs w:val="24"/>
      </w:rPr>
      <w:fldChar w:fldCharType="separate"/>
    </w:r>
    <w:r w:rsidR="005B6F4C">
      <w:rPr>
        <w:rFonts w:ascii="Arial" w:hAnsi="Arial" w:cs="Arial"/>
        <w:bCs/>
        <w:noProof/>
      </w:rPr>
      <w:t>1</w:t>
    </w:r>
    <w:r w:rsidRPr="0053726F">
      <w:rPr>
        <w:rFonts w:ascii="Arial" w:hAnsi="Arial" w:cs="Arial"/>
        <w:bCs/>
        <w:szCs w:val="24"/>
      </w:rPr>
      <w:fldChar w:fldCharType="end"/>
    </w:r>
  </w:p>
  <w:p w14:paraId="43C0665A" w14:textId="77777777" w:rsidR="00D22FF4" w:rsidRDefault="00D22FF4" w:rsidP="00D56E11">
    <w:pPr>
      <w:pStyle w:val="Footer"/>
      <w:tabs>
        <w:tab w:val="clear" w:pos="4320"/>
        <w:tab w:val="clear" w:pos="8640"/>
        <w:tab w:val="left" w:pos="4340"/>
      </w:tabs>
      <w:ind w:left="4340" w:right="270" w:hanging="43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466C" w14:textId="77777777" w:rsidR="00DC6799" w:rsidRDefault="005B6F4C">
    <w:pPr>
      <w:pStyle w:val="Footer"/>
    </w:pPr>
    <w:r>
      <w:rPr>
        <w:noProof/>
      </w:rPr>
      <w:drawing>
        <wp:inline distT="0" distB="0" distL="0" distR="0" wp14:anchorId="60B69751" wp14:editId="57D7DBDC">
          <wp:extent cx="6457950" cy="323628"/>
          <wp:effectExtent l="0" t="0" r="0" b="635"/>
          <wp:docPr id="4" name="Picture 4" descr="C:\Users\hutchins\AppData\Local\Microsoft\Windows\Temporary Internet Files\Content.Outlook\PLGO30GC\17-0064 BCNYS Letterhead_111 Washington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ins\AppData\Local\Microsoft\Windows\Temporary Internet Files\Content.Outlook\PLGO30GC\17-0064 BCNYS Letterhead_111 Washington 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3236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1D06" w14:textId="77777777" w:rsidR="00436ECF" w:rsidRDefault="00436ECF">
      <w:r>
        <w:separator/>
      </w:r>
    </w:p>
  </w:footnote>
  <w:footnote w:type="continuationSeparator" w:id="0">
    <w:p w14:paraId="580CBB37" w14:textId="77777777" w:rsidR="00436ECF" w:rsidRDefault="0043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DFBA" w14:textId="77777777" w:rsidR="0053726F" w:rsidRDefault="0053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86FE" w14:textId="77777777" w:rsidR="0053726F" w:rsidRDefault="00537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0FE6" w14:textId="77777777" w:rsidR="00DC6799" w:rsidRDefault="00BC4551" w:rsidP="00DC6799">
    <w:pPr>
      <w:pStyle w:val="Header"/>
      <w:tabs>
        <w:tab w:val="clear" w:pos="4320"/>
        <w:tab w:val="clear" w:pos="8640"/>
        <w:tab w:val="left" w:pos="7110"/>
        <w:tab w:val="right" w:pos="9540"/>
      </w:tabs>
      <w:ind w:right="-450"/>
    </w:pPr>
    <w:r>
      <w:rPr>
        <w:noProof/>
      </w:rPr>
      <w:drawing>
        <wp:anchor distT="0" distB="0" distL="114300" distR="114300" simplePos="0" relativeHeight="251658240" behindDoc="1" locked="1" layoutInCell="0" allowOverlap="1" wp14:anchorId="2499E6B1" wp14:editId="3F33DE41">
          <wp:simplePos x="0" y="0"/>
          <wp:positionH relativeFrom="page">
            <wp:posOffset>5431790</wp:posOffset>
          </wp:positionH>
          <wp:positionV relativeFrom="page">
            <wp:posOffset>850265</wp:posOffset>
          </wp:positionV>
          <wp:extent cx="1381125" cy="285750"/>
          <wp:effectExtent l="0" t="0" r="9525" b="0"/>
          <wp:wrapNone/>
          <wp:docPr id="3" name="Picture 3" descr="tex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E2482B" wp14:editId="5AF76A51">
          <wp:extent cx="1840230" cy="1090295"/>
          <wp:effectExtent l="0" t="0" r="7620" b="0"/>
          <wp:docPr id="1" name="Picture 1" descr="15-0027 Business Council Logo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27 Business Council Logo Letterhea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230" cy="1090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CF"/>
    <w:rsid w:val="001762E2"/>
    <w:rsid w:val="001A72B2"/>
    <w:rsid w:val="001B3DE3"/>
    <w:rsid w:val="0025788C"/>
    <w:rsid w:val="0040293C"/>
    <w:rsid w:val="00414428"/>
    <w:rsid w:val="00436ECF"/>
    <w:rsid w:val="0053726F"/>
    <w:rsid w:val="005B6F4C"/>
    <w:rsid w:val="0061628B"/>
    <w:rsid w:val="006A61F5"/>
    <w:rsid w:val="0074611D"/>
    <w:rsid w:val="007B57B3"/>
    <w:rsid w:val="00827794"/>
    <w:rsid w:val="009251C6"/>
    <w:rsid w:val="00946190"/>
    <w:rsid w:val="009B6903"/>
    <w:rsid w:val="00A0118A"/>
    <w:rsid w:val="00AE3C54"/>
    <w:rsid w:val="00BC4551"/>
    <w:rsid w:val="00C6238A"/>
    <w:rsid w:val="00C7558D"/>
    <w:rsid w:val="00D11923"/>
    <w:rsid w:val="00D22FF4"/>
    <w:rsid w:val="00D56E11"/>
    <w:rsid w:val="00DC6799"/>
    <w:rsid w:val="00DE14A6"/>
    <w:rsid w:val="00DF461B"/>
    <w:rsid w:val="00F01024"/>
    <w:rsid w:val="00F028D1"/>
    <w:rsid w:val="00F63886"/>
    <w:rsid w:val="00F8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E76905"/>
  <w15:docId w15:val="{40C5DD06-0AE0-40EE-9DB2-28E6D35A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946190"/>
    <w:pPr>
      <w:keepNext/>
      <w:spacing w:before="240" w:after="180" w:line="260" w:lineRule="exact"/>
      <w:outlineLvl w:val="0"/>
    </w:pPr>
    <w:rPr>
      <w:rFonts w:ascii="Verdana" w:eastAsia="Times New Roman" w:hAnsi="Verdana" w:cs="Arial"/>
      <w:b/>
      <w:bCs/>
      <w:kern w:val="32"/>
      <w:szCs w:val="32"/>
    </w:rPr>
  </w:style>
  <w:style w:type="paragraph" w:styleId="Heading6">
    <w:name w:val="heading 6"/>
    <w:basedOn w:val="Normal"/>
    <w:next w:val="Normal"/>
    <w:link w:val="Heading6Char"/>
    <w:uiPriority w:val="9"/>
    <w:semiHidden/>
    <w:unhideWhenUsed/>
    <w:qFormat/>
    <w:rsid w:val="00436ECF"/>
    <w:pPr>
      <w:keepNext/>
      <w:keepLines/>
      <w:spacing w:before="40"/>
      <w:outlineLvl w:val="5"/>
    </w:pPr>
    <w:rPr>
      <w:rFonts w:eastAsia="Times New Roman"/>
      <w:i/>
      <w:iCs/>
      <w:color w:val="5959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enderName">
    <w:name w:val="Sender Name"/>
    <w:basedOn w:val="Normal"/>
    <w:rsid w:val="00414428"/>
    <w:pPr>
      <w:jc w:val="right"/>
    </w:pPr>
    <w:rPr>
      <w:rFonts w:ascii="Verdana" w:eastAsia="Times New Roman" w:hAnsi="Verdana"/>
      <w:b/>
      <w:caps/>
      <w:sz w:val="16"/>
      <w:szCs w:val="14"/>
    </w:rPr>
  </w:style>
  <w:style w:type="paragraph" w:customStyle="1" w:styleId="SenderTitle">
    <w:name w:val="Sender Title"/>
    <w:basedOn w:val="Normal"/>
    <w:rsid w:val="00414428"/>
    <w:pPr>
      <w:jc w:val="right"/>
    </w:pPr>
    <w:rPr>
      <w:rFonts w:ascii="Verdana" w:eastAsia="Times New Roman" w:hAnsi="Verdana"/>
      <w:sz w:val="14"/>
      <w:szCs w:val="14"/>
    </w:rPr>
  </w:style>
  <w:style w:type="character" w:customStyle="1" w:styleId="Heading1Char">
    <w:name w:val="Heading 1 Char"/>
    <w:link w:val="Heading1"/>
    <w:rsid w:val="00946190"/>
    <w:rPr>
      <w:rFonts w:ascii="Verdana" w:eastAsia="Times New Roman" w:hAnsi="Verdana" w:cs="Arial"/>
      <w:b/>
      <w:bCs/>
      <w:kern w:val="32"/>
      <w:sz w:val="24"/>
      <w:szCs w:val="32"/>
    </w:rPr>
  </w:style>
  <w:style w:type="paragraph" w:customStyle="1" w:styleId="Text">
    <w:name w:val="Text"/>
    <w:basedOn w:val="Normal"/>
    <w:rsid w:val="00946190"/>
    <w:pPr>
      <w:spacing w:line="240" w:lineRule="exact"/>
    </w:pPr>
    <w:rPr>
      <w:rFonts w:ascii="Verdana" w:eastAsia="Times New Roman" w:hAnsi="Verdana"/>
      <w:sz w:val="20"/>
      <w:szCs w:val="24"/>
    </w:rPr>
  </w:style>
  <w:style w:type="paragraph" w:styleId="Title">
    <w:name w:val="Title"/>
    <w:basedOn w:val="Normal"/>
    <w:link w:val="TitleChar"/>
    <w:qFormat/>
    <w:rsid w:val="00946190"/>
    <w:pPr>
      <w:spacing w:before="720" w:after="240"/>
      <w:ind w:left="432" w:hanging="432"/>
      <w:outlineLvl w:val="0"/>
    </w:pPr>
    <w:rPr>
      <w:rFonts w:ascii="Verdana" w:eastAsia="Times New Roman" w:hAnsi="Verdana" w:cs="Arial"/>
      <w:b/>
      <w:bCs/>
      <w:kern w:val="28"/>
      <w:sz w:val="36"/>
      <w:szCs w:val="32"/>
    </w:rPr>
  </w:style>
  <w:style w:type="character" w:customStyle="1" w:styleId="TitleChar">
    <w:name w:val="Title Char"/>
    <w:link w:val="Title"/>
    <w:rsid w:val="00946190"/>
    <w:rPr>
      <w:rFonts w:ascii="Verdana" w:eastAsia="Times New Roman" w:hAnsi="Verdana" w:cs="Arial"/>
      <w:b/>
      <w:bCs/>
      <w:kern w:val="28"/>
      <w:sz w:val="36"/>
      <w:szCs w:val="32"/>
    </w:rPr>
  </w:style>
  <w:style w:type="character" w:customStyle="1" w:styleId="FooterChar">
    <w:name w:val="Footer Char"/>
    <w:link w:val="Footer"/>
    <w:uiPriority w:val="99"/>
    <w:rsid w:val="0053726F"/>
    <w:rPr>
      <w:sz w:val="24"/>
    </w:rPr>
  </w:style>
  <w:style w:type="paragraph" w:customStyle="1" w:styleId="CurrentDate">
    <w:name w:val="Current Date"/>
    <w:basedOn w:val="Text"/>
    <w:rsid w:val="00F63886"/>
  </w:style>
  <w:style w:type="paragraph" w:customStyle="1" w:styleId="Body">
    <w:name w:val="Body"/>
    <w:basedOn w:val="Text"/>
    <w:rsid w:val="00F63886"/>
    <w:pPr>
      <w:spacing w:after="180" w:line="260" w:lineRule="exact"/>
    </w:pPr>
  </w:style>
  <w:style w:type="table" w:styleId="TableGrid">
    <w:name w:val="Table Grid"/>
    <w:basedOn w:val="TableNormal"/>
    <w:rsid w:val="00F63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Labels">
    <w:name w:val="Field Labels"/>
    <w:basedOn w:val="CurrentDate"/>
    <w:rsid w:val="00F63886"/>
    <w:pPr>
      <w:spacing w:before="60"/>
    </w:pPr>
    <w:rPr>
      <w:b/>
      <w:sz w:val="12"/>
      <w:szCs w:val="12"/>
    </w:rPr>
  </w:style>
  <w:style w:type="paragraph" w:styleId="BalloonText">
    <w:name w:val="Balloon Text"/>
    <w:basedOn w:val="Normal"/>
    <w:link w:val="BalloonTextChar"/>
    <w:uiPriority w:val="99"/>
    <w:semiHidden/>
    <w:unhideWhenUsed/>
    <w:rsid w:val="005B6F4C"/>
    <w:rPr>
      <w:rFonts w:ascii="Tahoma" w:hAnsi="Tahoma" w:cs="Tahoma"/>
      <w:sz w:val="16"/>
      <w:szCs w:val="16"/>
    </w:rPr>
  </w:style>
  <w:style w:type="character" w:customStyle="1" w:styleId="BalloonTextChar">
    <w:name w:val="Balloon Text Char"/>
    <w:basedOn w:val="DefaultParagraphFont"/>
    <w:link w:val="BalloonText"/>
    <w:uiPriority w:val="99"/>
    <w:semiHidden/>
    <w:rsid w:val="005B6F4C"/>
    <w:rPr>
      <w:rFonts w:ascii="Tahoma" w:hAnsi="Tahoma" w:cs="Tahoma"/>
      <w:sz w:val="16"/>
      <w:szCs w:val="16"/>
    </w:rPr>
  </w:style>
  <w:style w:type="character" w:styleId="Hyperlink">
    <w:name w:val="Hyperlink"/>
    <w:basedOn w:val="DefaultParagraphFont"/>
    <w:uiPriority w:val="99"/>
    <w:unhideWhenUsed/>
    <w:rsid w:val="00436ECF"/>
    <w:rPr>
      <w:color w:val="0000FF"/>
      <w:u w:val="single"/>
    </w:rPr>
  </w:style>
  <w:style w:type="paragraph" w:customStyle="1" w:styleId="Heading61">
    <w:name w:val="Heading 61"/>
    <w:basedOn w:val="Normal"/>
    <w:next w:val="Normal"/>
    <w:uiPriority w:val="9"/>
    <w:semiHidden/>
    <w:unhideWhenUsed/>
    <w:qFormat/>
    <w:rsid w:val="00436ECF"/>
    <w:pPr>
      <w:keepNext/>
      <w:keepLines/>
      <w:spacing w:before="40" w:line="259" w:lineRule="auto"/>
      <w:outlineLvl w:val="5"/>
    </w:pPr>
    <w:rPr>
      <w:rFonts w:ascii="Aptos" w:eastAsia="Times New Roman" w:hAnsi="Aptos"/>
      <w:i/>
      <w:iCs/>
      <w:color w:val="595959"/>
      <w:kern w:val="2"/>
      <w:sz w:val="22"/>
      <w:szCs w:val="22"/>
      <w14:ligatures w14:val="standardContextual"/>
    </w:rPr>
  </w:style>
  <w:style w:type="character" w:customStyle="1" w:styleId="Heading6Char">
    <w:name w:val="Heading 6 Char"/>
    <w:basedOn w:val="DefaultParagraphFont"/>
    <w:link w:val="Heading6"/>
    <w:uiPriority w:val="9"/>
    <w:semiHidden/>
    <w:rsid w:val="00436ECF"/>
    <w:rPr>
      <w:rFonts w:eastAsia="Times New Roman" w:cs="Times New Roman"/>
      <w:i/>
      <w:iCs/>
      <w:color w:val="595959"/>
    </w:rPr>
  </w:style>
  <w:style w:type="character" w:customStyle="1" w:styleId="Heading6Char1">
    <w:name w:val="Heading 6 Char1"/>
    <w:basedOn w:val="DefaultParagraphFont"/>
    <w:uiPriority w:val="9"/>
    <w:semiHidden/>
    <w:rsid w:val="00436ECF"/>
    <w:rPr>
      <w:rFonts w:asciiTheme="majorHAnsi" w:eastAsiaTheme="majorEastAsia" w:hAnsiTheme="majorHAnsi" w:cstheme="majorBidi"/>
      <w:color w:val="243F60" w:themeColor="accent1" w:themeShade="7F"/>
      <w:sz w:val="24"/>
    </w:rPr>
  </w:style>
  <w:style w:type="character" w:styleId="UnresolvedMention">
    <w:name w:val="Unresolved Mention"/>
    <w:basedOn w:val="DefaultParagraphFont"/>
    <w:uiPriority w:val="99"/>
    <w:semiHidden/>
    <w:unhideWhenUsed/>
    <w:rsid w:val="0017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14796">
      <w:bodyDiv w:val="1"/>
      <w:marLeft w:val="0"/>
      <w:marRight w:val="0"/>
      <w:marTop w:val="0"/>
      <w:marBottom w:val="0"/>
      <w:divBdr>
        <w:top w:val="none" w:sz="0" w:space="0" w:color="auto"/>
        <w:left w:val="none" w:sz="0" w:space="0" w:color="auto"/>
        <w:bottom w:val="none" w:sz="0" w:space="0" w:color="auto"/>
        <w:right w:val="none" w:sz="0" w:space="0" w:color="auto"/>
      </w:divBdr>
      <w:divsChild>
        <w:div w:id="48393469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nys.org/memo/s8309-part-ff-budget-and-a8809-part-cc" TargetMode="External"/><Relationship Id="rId13" Type="http://schemas.openxmlformats.org/officeDocument/2006/relationships/hyperlink" Target="mailto:ken.pokalsky@bcny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nys.org/memo/s8115-b-skoufisa8451-paulin" TargetMode="External"/><Relationship Id="rId12" Type="http://schemas.openxmlformats.org/officeDocument/2006/relationships/hyperlink" Target="https://www.bcnys.org/memo/s8309-part-g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cnys.org/memo/s2012-krueger-a3959-braunste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cnys.org/index.php/memo/s9813-kruegera10514-rulesweinstein-request-attorney-genera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cnys.org/memo/a3009-b-budget-part-hh"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Templates\04-10-17%20Memo%20(not%20bill%20memo)%20Washington%20Av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0030-B6AF-4528-BF6E-D9DFFAB9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04-10-17 Memo (not bill memo) Washington Ave .dotm</Template>
  <TotalTime>19</TotalTime>
  <Pages>2</Pages>
  <Words>721</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CDPHP</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Pokalsky</dc:creator>
  <cp:lastModifiedBy>Ken Pokalsky</cp:lastModifiedBy>
  <cp:revision>4</cp:revision>
  <cp:lastPrinted>2015-04-24T18:23:00Z</cp:lastPrinted>
  <dcterms:created xsi:type="dcterms:W3CDTF">2024-12-18T15:29:00Z</dcterms:created>
  <dcterms:modified xsi:type="dcterms:W3CDTF">2025-01-08T20:02:00Z</dcterms:modified>
</cp:coreProperties>
</file>